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3212289A" w:rsidR="00DD5201" w:rsidRPr="00335572" w:rsidRDefault="00D74EE0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B3597EC" w:rsidR="00DD5201" w:rsidRPr="00335572" w:rsidRDefault="00D74EE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489CC896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შეასრულოს საჰაერო ხომალდების მექანიკური სამონტაჟო სამუშაოები</w:t>
                  </w:r>
                </w:p>
                <w:p w14:paraId="41C7FF54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ააწყოს საჰაერო ხომალდი</w:t>
                  </w:r>
                </w:p>
                <w:p w14:paraId="309B1561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დაშალოს საჰაერო ხომალდი</w:t>
                  </w:r>
                </w:p>
                <w:p w14:paraId="488FF83D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შეასრულოს კაბელებზე სამუშაოები</w:t>
                  </w:r>
                </w:p>
                <w:p w14:paraId="5633195F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შეასრულოს ელექტროობაზე სამუშაოები</w:t>
                  </w:r>
                </w:p>
                <w:p w14:paraId="016129DB" w14:textId="77777777" w:rsidR="007302E2" w:rsidRPr="00CD0867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შეასრულოს ავიონიკის სამუშაოები</w:t>
                  </w:r>
                </w:p>
                <w:p w14:paraId="64CBE166" w14:textId="4BEAC14E" w:rsidR="00DD5201" w:rsidRPr="007302E2" w:rsidRDefault="007302E2" w:rsidP="007302E2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eastAsia="Sylfaen,Sylfaen,Arial" w:hAnsi="Sylfaen" w:cs="Sylfaen,Sylfaen,Arial"/>
                      <w:lang w:val="ka-GE"/>
                    </w:rPr>
                  </w:pPr>
                  <w:r w:rsidRPr="00CD0867">
                    <w:rPr>
                      <w:rFonts w:ascii="Sylfaen" w:eastAsia="Sylfaen,Sylfaen,Arial" w:hAnsi="Sylfaen" w:cs="Sylfaen,Sylfaen,Arial"/>
                      <w:lang w:val="ka-GE"/>
                    </w:rPr>
                    <w:t>შეასრულოს ფურცლოვან მეტალებზე სამუშაოები.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0A35AAEA" w:rsidR="00DD5201" w:rsidRPr="007302E2" w:rsidRDefault="007302E2" w:rsidP="007302E2">
                  <w:p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7302E2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ავიონიკის ტექნიკური მომსახურებ</w:t>
                  </w: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ის მიმართულებით კვალიფიკაციის მფლობელს, </w:t>
                  </w:r>
                  <w:bookmarkStart w:id="0" w:name="_GoBack"/>
                  <w:bookmarkEnd w:id="0"/>
                  <w:r w:rsidRPr="00CD0867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 xml:space="preserve">საჰაერო ხომალდის „ტიპზე გადამზადების“ სერტიფიკატის აღების შემდეგ, </w:t>
                  </w:r>
                  <w:r w:rsidRPr="00CD0867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შეუძლია დასაქმდეს </w:t>
                  </w:r>
                  <w:r w:rsidRPr="00CD0867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ნებისმიერი ტიპის სამოქალაქო საჰაერო ხომალდის ავიონიკის ტექნიკოსის პოზიციაზე.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lastRenderedPageBreak/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3A6F091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7F0947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მეხუთე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718C9FEE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7F0947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96FDDD3" w14:textId="77777777" w:rsidR="00DD5201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  <w:p w14:paraId="539DEBE6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OMMISSION REGULATION (EU) No 1321/2014</w:t>
                  </w:r>
                </w:p>
                <w:p w14:paraId="74779B2D" w14:textId="3B45A24B" w:rsidR="007F0947" w:rsidRPr="0056281E" w:rsidRDefault="007F0947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30ED65A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hAnsi="Sylfaen" w:cs="Sylfaen"/>
                      <w:lang w:val="ka-GE"/>
                    </w:rPr>
                    <w:t>საქართველოს კანონი  - „პროფესიული განათლების შესახებ“</w:t>
                  </w:r>
                </w:p>
                <w:p w14:paraId="5B4209AB" w14:textId="54656676" w:rsidR="007F0947" w:rsidRPr="00CD086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Arial Unicode MS" w:hAnsi="Sylfaen" w:cs="Arial Unicode MS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0F79D032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hAnsi="Sylfaen" w:cs="Sylfaen"/>
                      <w:lang w:val="ka-GE"/>
                    </w:rPr>
                    <w:t>ეროვნული საკვალიფიკაციო ჩარჩო</w:t>
                  </w:r>
                </w:p>
                <w:p w14:paraId="4F34D74B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სსიპ - სამოქალაქო ავიაციის სააგენტოს დირექტორის 2013 წლის 24 ოქტომბრის N221 ბრძანება  „სამოქალაქო ავიაციის სასწავლო დაწესებულების სერტიფიცირების წესის“ დამტკიცების შესახებ</w:t>
                  </w:r>
                </w:p>
                <w:p w14:paraId="4C2492C4" w14:textId="4154015F" w:rsidR="006A095B" w:rsidRPr="007F094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სსიპ - სამოქალაქო ავიაციის სააგენტოს დირექტორის 2012 წლის 30 აგვისტოს №150 ბრძანებით დამტკიცებული ,,ავიასპეციალისტთა სერტიფიცირების წესი“</w:t>
                  </w:r>
                </w:p>
                <w:p w14:paraId="4EC58329" w14:textId="77777777" w:rsidR="007F0947" w:rsidRPr="007F0947" w:rsidRDefault="007F0947" w:rsidP="007F0947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360"/>
                      <w:tab w:val="left" w:pos="540"/>
                    </w:tabs>
                    <w:ind w:left="270" w:firstLine="0"/>
                    <w:jc w:val="both"/>
                    <w:rPr>
                      <w:rFonts w:ascii="Sylfaen" w:hAnsi="Sylfaen" w:cs="Sylfaen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70D8ED79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საჰაერო ხომალდების ავიონიკის მომსახურების ტექნიკური სპეციალისტი;</w:t>
                  </w:r>
                </w:p>
                <w:p w14:paraId="4D1B24AE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540"/>
                    </w:tabs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საჰაერო ხომალდებისა და ძრავების მომსახურების ავიატექნიკოსი;</w:t>
                  </w:r>
                </w:p>
                <w:p w14:paraId="5DF02A21" w14:textId="615E8D53" w:rsidR="0037551B" w:rsidRPr="00335572" w:rsidRDefault="0037551B" w:rsidP="007F094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09F0F0C7" w:rsidR="00273307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09273EB3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სრული ზოგადი განათლება</w:t>
                  </w:r>
                </w:p>
                <w:p w14:paraId="419D138C" w14:textId="77777777" w:rsidR="007F0947" w:rsidRPr="00CD0867" w:rsidRDefault="007F0947" w:rsidP="007F0947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B2 დონის დამადასტურებელი ინგლისური ენის სერტიფიკატი ან სასწავლებლის მიერ განსაზღვრული შესაბამისი გამოცდის ჩაბარება</w:t>
                  </w:r>
                </w:p>
                <w:p w14:paraId="0A35AA6F" w14:textId="1E51DA8D" w:rsidR="00DD04A2" w:rsidRDefault="007F0947" w:rsidP="004B3DBB">
                  <w:pPr>
                    <w:pStyle w:val="ListParagraph"/>
                    <w:numPr>
                      <w:ilvl w:val="0"/>
                      <w:numId w:val="36"/>
                    </w:numPr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0867">
                    <w:rPr>
                      <w:rFonts w:ascii="Sylfaen" w:eastAsia="Sylfaen" w:hAnsi="Sylfaen" w:cs="Sylfaen"/>
                      <w:lang w:val="ka-GE"/>
                    </w:rPr>
                    <w:t>„სამედიცინო დოკუმენტაცია ფორმა №IV -100/ა“, ჯანმრთელობის დამადასტურებელი ცნობა.</w:t>
                  </w:r>
                </w:p>
                <w:p w14:paraId="453A1C5A" w14:textId="77777777" w:rsidR="007F0947" w:rsidRPr="007F0947" w:rsidRDefault="007F0947" w:rsidP="007F0947">
                  <w:pPr>
                    <w:pStyle w:val="ListParagraph"/>
                    <w:ind w:left="144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3996" w14:textId="77777777" w:rsidR="00AF6037" w:rsidRDefault="00AF6037" w:rsidP="007F0947">
      <w:pPr>
        <w:spacing w:after="0" w:line="240" w:lineRule="auto"/>
      </w:pPr>
      <w:r>
        <w:separator/>
      </w:r>
    </w:p>
  </w:endnote>
  <w:endnote w:type="continuationSeparator" w:id="0">
    <w:p w14:paraId="12EE7001" w14:textId="77777777" w:rsidR="00AF6037" w:rsidRDefault="00AF6037" w:rsidP="007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0E65" w14:textId="77777777" w:rsidR="00AF6037" w:rsidRDefault="00AF6037" w:rsidP="007F0947">
      <w:pPr>
        <w:spacing w:after="0" w:line="240" w:lineRule="auto"/>
      </w:pPr>
      <w:r>
        <w:separator/>
      </w:r>
    </w:p>
  </w:footnote>
  <w:footnote w:type="continuationSeparator" w:id="0">
    <w:p w14:paraId="156F7F01" w14:textId="77777777" w:rsidR="00AF6037" w:rsidRDefault="00AF6037" w:rsidP="007F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23D80"/>
    <w:multiLevelType w:val="hybridMultilevel"/>
    <w:tmpl w:val="CEBC7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09AF"/>
    <w:multiLevelType w:val="hybridMultilevel"/>
    <w:tmpl w:val="3E04A6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54BC"/>
    <w:multiLevelType w:val="hybridMultilevel"/>
    <w:tmpl w:val="CE5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8390A"/>
    <w:multiLevelType w:val="hybridMultilevel"/>
    <w:tmpl w:val="E5E0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DB32921"/>
    <w:multiLevelType w:val="hybridMultilevel"/>
    <w:tmpl w:val="05D647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5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05B5"/>
    <w:multiLevelType w:val="hybridMultilevel"/>
    <w:tmpl w:val="57D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3164"/>
    <w:multiLevelType w:val="hybridMultilevel"/>
    <w:tmpl w:val="3B963A50"/>
    <w:lvl w:ilvl="0" w:tplc="E74049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34"/>
  </w:num>
  <w:num w:numId="5">
    <w:abstractNumId w:val="20"/>
  </w:num>
  <w:num w:numId="6">
    <w:abstractNumId w:val="0"/>
  </w:num>
  <w:num w:numId="7">
    <w:abstractNumId w:val="1"/>
  </w:num>
  <w:num w:numId="8">
    <w:abstractNumId w:val="35"/>
  </w:num>
  <w:num w:numId="9">
    <w:abstractNumId w:val="23"/>
  </w:num>
  <w:num w:numId="10">
    <w:abstractNumId w:val="14"/>
  </w:num>
  <w:num w:numId="11">
    <w:abstractNumId w:val="41"/>
  </w:num>
  <w:num w:numId="12">
    <w:abstractNumId w:val="22"/>
  </w:num>
  <w:num w:numId="13">
    <w:abstractNumId w:val="21"/>
  </w:num>
  <w:num w:numId="14">
    <w:abstractNumId w:val="4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</w:num>
  <w:num w:numId="19">
    <w:abstractNumId w:val="3"/>
  </w:num>
  <w:num w:numId="20">
    <w:abstractNumId w:val="24"/>
  </w:num>
  <w:num w:numId="21">
    <w:abstractNumId w:val="13"/>
  </w:num>
  <w:num w:numId="22">
    <w:abstractNumId w:val="7"/>
  </w:num>
  <w:num w:numId="23">
    <w:abstractNumId w:val="5"/>
  </w:num>
  <w:num w:numId="24">
    <w:abstractNumId w:val="2"/>
  </w:num>
  <w:num w:numId="25">
    <w:abstractNumId w:val="31"/>
  </w:num>
  <w:num w:numId="26">
    <w:abstractNumId w:val="40"/>
  </w:num>
  <w:num w:numId="27">
    <w:abstractNumId w:val="10"/>
  </w:num>
  <w:num w:numId="28">
    <w:abstractNumId w:val="9"/>
  </w:num>
  <w:num w:numId="29">
    <w:abstractNumId w:val="28"/>
  </w:num>
  <w:num w:numId="30">
    <w:abstractNumId w:val="17"/>
  </w:num>
  <w:num w:numId="31">
    <w:abstractNumId w:val="36"/>
  </w:num>
  <w:num w:numId="32">
    <w:abstractNumId w:val="8"/>
  </w:num>
  <w:num w:numId="33">
    <w:abstractNumId w:val="27"/>
  </w:num>
  <w:num w:numId="34">
    <w:abstractNumId w:val="16"/>
  </w:num>
  <w:num w:numId="35">
    <w:abstractNumId w:val="39"/>
  </w:num>
  <w:num w:numId="36">
    <w:abstractNumId w:val="25"/>
  </w:num>
  <w:num w:numId="37">
    <w:abstractNumId w:val="37"/>
  </w:num>
  <w:num w:numId="38">
    <w:abstractNumId w:val="6"/>
  </w:num>
  <w:num w:numId="39">
    <w:abstractNumId w:val="38"/>
  </w:num>
  <w:num w:numId="40">
    <w:abstractNumId w:val="33"/>
  </w:num>
  <w:num w:numId="41">
    <w:abstractNumId w:val="1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E2"/>
    <w:rsid w:val="007302F5"/>
    <w:rsid w:val="007435B7"/>
    <w:rsid w:val="00757E94"/>
    <w:rsid w:val="007C0AF7"/>
    <w:rsid w:val="007F094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AF6037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462E8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947"/>
    <w:pPr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5A63-E8C6-47FF-9A1C-11F3B13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88</cp:revision>
  <dcterms:created xsi:type="dcterms:W3CDTF">2019-07-31T10:11:00Z</dcterms:created>
  <dcterms:modified xsi:type="dcterms:W3CDTF">2020-02-26T12:17:00Z</dcterms:modified>
</cp:coreProperties>
</file>