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8543" w14:textId="22A9AC7B" w:rsidR="00DD52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335572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56281E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ka-GE"/>
        </w:rPr>
        <w:t>​</w:t>
      </w:r>
      <w:r w:rsidR="00DD5201" w:rsidRPr="0056281E">
        <w:rPr>
          <w:rFonts w:ascii="Sylfaen" w:hAnsi="Sylfaen" w:cs="Sylfaen"/>
          <w:b/>
          <w:bCs/>
          <w:noProof/>
          <w:sz w:val="16"/>
          <w:szCs w:val="16"/>
          <w:lang w:val="ka-GE"/>
        </w:rPr>
        <w:t>(*)</w:t>
      </w:r>
      <w:r w:rsidR="00DD5201" w:rsidRPr="0056281E">
        <w:rPr>
          <w:rFonts w:ascii="Sylfaen" w:hAnsi="Sylfaen" w:cs="Sylfaen"/>
          <w:noProof/>
          <w:sz w:val="16"/>
          <w:szCs w:val="16"/>
          <w:lang w:val="ka-GE"/>
        </w:rPr>
        <w:tab/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335572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16"/>
          <w:szCs w:val="16"/>
          <w:lang w:val="ka-GE"/>
        </w:rPr>
      </w:pPr>
      <w:r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 xml:space="preserve">  </w:t>
      </w:r>
      <w:r w:rsidR="00275E01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>საქართველო</w:t>
      </w:r>
    </w:p>
    <w:p w14:paraId="399FBD96" w14:textId="77777777" w:rsidR="00275E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335572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335572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424D8758" w:rsidR="00DD5201" w:rsidRPr="00F14037" w:rsidRDefault="00F14037" w:rsidP="00F14037">
                  <w:pPr>
                    <w:pStyle w:val="ListParagraph"/>
                    <w:ind w:left="270"/>
                    <w:jc w:val="center"/>
                    <w:rPr>
                      <w:rFonts w:ascii="Sylfaen" w:eastAsia="Sylfaen" w:hAnsi="Sylfaen" w:cs="Sylfaen"/>
                      <w:lang w:val="ka-GE"/>
                    </w:rPr>
                  </w:pPr>
                  <w:r w:rsidRPr="0092207D">
                    <w:rPr>
                      <w:rFonts w:ascii="Sylfaen" w:eastAsia="Sylfaen" w:hAnsi="Sylfaen" w:cs="Sylfaen"/>
                      <w:lang w:val="ka-GE"/>
                    </w:rPr>
                    <w:t>საშუალო პროფესიული კვალიფიკაცია ლოგისტიკაში</w:t>
                  </w:r>
                  <w:r>
                    <w:rPr>
                      <w:rFonts w:ascii="Sylfaen" w:eastAsia="Sylfaen" w:hAnsi="Sylfaen" w:cs="Sylfaen"/>
                      <w:lang w:val="ka-GE"/>
                    </w:rPr>
                    <w:t xml:space="preserve"> </w:t>
                  </w:r>
                  <w:r w:rsidR="001163F0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335572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2F1D0D00" w14:textId="77777777" w:rsidTr="007435B7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5F2145C7" w:rsidR="00DD5201" w:rsidRPr="00335572" w:rsidRDefault="00F14037" w:rsidP="00D74EE0">
                  <w:pPr>
                    <w:pStyle w:val="CommentText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92207D">
                    <w:rPr>
                      <w:rFonts w:ascii="Sylfaen" w:hAnsi="Sylfaen" w:cs="Sylfaen"/>
                      <w:lang w:val="ka-GE"/>
                    </w:rPr>
                    <w:t>Secondary Vocational Qualification in Logistics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 xml:space="preserve"> </w:t>
                  </w:r>
                  <w:r w:rsidR="00EE686E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335572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335572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3F41ACA2" w14:textId="74A26776" w:rsidR="00D74EE0" w:rsidRPr="00335572" w:rsidRDefault="00D74EE0" w:rsidP="00D74EE0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689B7D32" w14:textId="2217C97E" w:rsidR="00F14037" w:rsidRPr="00F14037" w:rsidRDefault="00F14037" w:rsidP="00F140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F14037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1.</w:t>
                  </w:r>
                  <w:r w:rsidRPr="00F14037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დაგეგმოს სატვირთო გადაზიდვები</w:t>
                  </w:r>
                </w:p>
                <w:p w14:paraId="301EC7D3" w14:textId="73A7D96C" w:rsidR="00F14037" w:rsidRPr="00F14037" w:rsidRDefault="00F14037" w:rsidP="00F140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F14037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2.</w:t>
                  </w:r>
                  <w:r w:rsidRPr="00F14037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გააფორმოს შეკვეთა</w:t>
                  </w:r>
                </w:p>
                <w:p w14:paraId="27E4A945" w14:textId="6BA4635D" w:rsidR="00F14037" w:rsidRPr="00F14037" w:rsidRDefault="00F14037" w:rsidP="00F140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F14037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3.</w:t>
                  </w:r>
                  <w:r w:rsidRPr="00F14037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განახორციელოს გადაზიდვების მონიტორინგი</w:t>
                  </w:r>
                </w:p>
                <w:p w14:paraId="0A3E77B7" w14:textId="1C84E185" w:rsidR="00F14037" w:rsidRPr="00F14037" w:rsidRDefault="00F14037" w:rsidP="00F140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F14037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4.</w:t>
                  </w:r>
                  <w:r w:rsidRPr="00F14037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 xml:space="preserve">შეავსოს სატრანსპორტო დოკუმენტაცია </w:t>
                  </w:r>
                </w:p>
                <w:p w14:paraId="19834B13" w14:textId="2E6B403E" w:rsidR="00F14037" w:rsidRPr="00F14037" w:rsidRDefault="00F14037" w:rsidP="00F140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F14037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5.</w:t>
                  </w:r>
                  <w:r w:rsidRPr="00F14037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გადაზიდვების დროს გამოთვალოს ლოგისტიკური დანახარჯები</w:t>
                  </w:r>
                </w:p>
                <w:p w14:paraId="5CE3D617" w14:textId="638C5B85" w:rsidR="00F14037" w:rsidRPr="00F14037" w:rsidRDefault="00F14037" w:rsidP="00F140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F14037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6.</w:t>
                  </w:r>
                  <w:r w:rsidRPr="00F14037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მიიღოს ტვირთი საწყობში</w:t>
                  </w:r>
                </w:p>
                <w:p w14:paraId="64CBE166" w14:textId="1A9FE4B8" w:rsidR="00DD5201" w:rsidRPr="00335572" w:rsidRDefault="00F14037" w:rsidP="00F140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F14037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7.</w:t>
                  </w:r>
                  <w:r w:rsidRPr="00F14037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გააკონტროლოს ნაშთები</w:t>
                  </w:r>
                </w:p>
              </w:tc>
            </w:tr>
            <w:tr w:rsidR="00DD5201" w:rsidRPr="00335572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335572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335572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1F6BC631" w14:textId="05CDE17E" w:rsidR="00DD5201" w:rsidRPr="00DC56DB" w:rsidRDefault="00F14037" w:rsidP="00DC56DB">
                  <w:pPr>
                    <w:jc w:val="both"/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F14037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საშუალო პროფესიული კვალიფიკაციის მფლობელს, სატვირთო გადაზიდვების ლოგისტიკის მიმართულებით შეუძლია დასაქმდეს ტვირთების გადამზიდავ ექსპედიტორულ და სატრანსპორტო - ლო</w:t>
                  </w:r>
                  <w: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გ</w:t>
                  </w:r>
                  <w:r w:rsidRPr="00F14037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ისტიკურ ორგანიზაციებში; საბაჟო-სატრანსპორტო მომსახურების საწარმოებში; სატრანსპორტო-ლო</w:t>
                  </w:r>
                  <w: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გ</w:t>
                  </w:r>
                  <w:r w:rsidRPr="00F14037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ისტიკური ასოციაციებში; სატრანსპორტო და საექსპედიციო ორგანიზაციებში; სხვადასხვა დონის სავაჭრო-ლოგისტიკური კომპლექსებში; სავაჭრო-შემსყიდველი და საშუამავლო ორგანიზაციებში; მზა პროდუქციის მსხვილ სადისტრიბუტორო ორგანიზაციებში; გამანაწილებელ და ლოგისტიკურ ცენტრებში; საბაჟო ტერმინალური კომპლექსებში; სასაწყობო მეურნეობებში, საბაჟო საწყობებში.</w:t>
                  </w:r>
                </w:p>
              </w:tc>
            </w:tr>
            <w:tr w:rsidR="00DD5201" w:rsidRPr="00335572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 </w:t>
                  </w:r>
                  <w:r w:rsidRPr="0056281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(*)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8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9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335572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300D968F" w14:textId="0BD621D7" w:rsidR="00E70231" w:rsidRPr="0033557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A693E5B" w14:textId="77777777" w:rsidR="00E70231" w:rsidRPr="0033557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6CC9913F" w14:textId="77777777" w:rsidR="00335572" w:rsidRDefault="00335572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1D185A54" w14:textId="77777777" w:rsidR="0056281E" w:rsidRDefault="0056281E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335572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5.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335572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335572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დიპლომის/სერტიფიკატის</w:t>
                  </w:r>
                  <w:r w:rsidR="00DD5201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მისამართი: </w:t>
                  </w:r>
                </w:p>
                <w:p w14:paraId="4EE99F99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335572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335572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335572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335572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კვალიფიკაციის დონე</w:t>
                  </w:r>
                  <w:r w:rsidR="00F11B0B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11AAFC78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bookmarkStart w:id="0" w:name="_Hlk15482159"/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- მეოთხე დონე</w:t>
                  </w:r>
                  <w:r w:rsidR="0058755E" w:rsidRPr="00335572">
                    <w:rPr>
                      <w:rFonts w:ascii="Sylfaen" w:eastAsia="Arial Unicode MS" w:hAnsi="Sylfaen" w:cs="Arial Unicode MS"/>
                      <w:noProof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34D3AB60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განათლების საერთაშორისო სტანდარტული კლასიფიკატორი – ISCED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2011 </w:t>
                  </w:r>
                  <w:bookmarkEnd w:id="0"/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- დონე 4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335572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335572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ა) სწავლის შედეგი დადასტურდა;</w:t>
                  </w:r>
                </w:p>
                <w:p w14:paraId="21D53F1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 სწავლის შედეგი ვერ დადასტურდა.</w:t>
                  </w:r>
                </w:p>
                <w:p w14:paraId="567D2093" w14:textId="0CE2FDC6" w:rsidR="00F10A09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335572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335572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4779B2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</w:tc>
            </w:tr>
            <w:tr w:rsidR="00DD5201" w:rsidRPr="00335572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335572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F5965E9" w14:textId="77777777" w:rsidR="006A095B" w:rsidRPr="00335572" w:rsidRDefault="006A095B" w:rsidP="00DD04A2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03A781A0" w14:textId="77777777" w:rsidR="006A095B" w:rsidRPr="00335572" w:rsidRDefault="006A095B" w:rsidP="00DD04A2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4C2492C4" w14:textId="77777777" w:rsidR="006A095B" w:rsidRPr="0033557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21F5986" w14:textId="10BCF27D" w:rsidR="006A095B" w:rsidRPr="0033557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3BAF5AD6" w14:textId="77777777" w:rsidR="00DD04A2" w:rsidRPr="00335572" w:rsidRDefault="00DD04A2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A9664CB" w14:textId="1A95A86F" w:rsidR="0045025A" w:rsidRPr="0045025A" w:rsidRDefault="0045025A" w:rsidP="0045025A">
                  <w:pPr>
                    <w:numPr>
                      <w:ilvl w:val="0"/>
                      <w:numId w:val="33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45025A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სატრანსპორტო ლოგისტიკის ოპერატორი</w:t>
                  </w:r>
                  <w:bookmarkStart w:id="1" w:name="_GoBack"/>
                  <w:bookmarkEnd w:id="1"/>
                </w:p>
                <w:p w14:paraId="56A598C3" w14:textId="06FD89B2" w:rsidR="0045025A" w:rsidRPr="0045025A" w:rsidRDefault="0045025A" w:rsidP="0045025A">
                  <w:pPr>
                    <w:numPr>
                      <w:ilvl w:val="0"/>
                      <w:numId w:val="33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45025A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საწყობის ლოგისტიკის ოპერატორი</w:t>
                  </w:r>
                </w:p>
                <w:p w14:paraId="29E24297" w14:textId="28EF0BFC" w:rsidR="0045025A" w:rsidRPr="0045025A" w:rsidRDefault="0045025A" w:rsidP="0045025A">
                  <w:pPr>
                    <w:numPr>
                      <w:ilvl w:val="0"/>
                      <w:numId w:val="33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45025A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სარკინიგზო გადაზიდვების სპეციალისტი</w:t>
                  </w:r>
                </w:p>
                <w:p w14:paraId="682154D9" w14:textId="0F046CE7" w:rsidR="0045025A" w:rsidRPr="0045025A" w:rsidRDefault="0045025A" w:rsidP="0045025A">
                  <w:pPr>
                    <w:numPr>
                      <w:ilvl w:val="0"/>
                      <w:numId w:val="33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45025A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საჰაერო გადაყვანა/გადაზიდვების სპეციალისტი</w:t>
                  </w:r>
                </w:p>
                <w:p w14:paraId="5DF02A21" w14:textId="6547AB5B" w:rsidR="0037551B" w:rsidRPr="00335572" w:rsidRDefault="0037551B" w:rsidP="0045025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ind w:left="720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6. </w:t>
                  </w:r>
                  <w:r w:rsidR="004C2361"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335572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335572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335572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335572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აღიარებული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335572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335572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335572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69698648" w:rsidR="00273307" w:rsidRPr="00335572" w:rsidRDefault="00DD5201" w:rsidP="004B3DBB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დაშვების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r w:rsidR="004B3DB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სრული ზოგადი განათლება</w:t>
                  </w:r>
                </w:p>
                <w:p w14:paraId="1623F23F" w14:textId="513C8AC6" w:rsidR="007F45B1" w:rsidRPr="00335572" w:rsidRDefault="007F45B1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1AA4AF44" w14:textId="3AE4754E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335572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335572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335572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0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საკონტაქტო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1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335572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335572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335572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</w:tr>
    </w:tbl>
    <w:p w14:paraId="2B050D2A" w14:textId="19A47084" w:rsidR="000606FF" w:rsidRPr="00335572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335572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erriweathe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95A"/>
    <w:multiLevelType w:val="hybridMultilevel"/>
    <w:tmpl w:val="BF20A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C017D"/>
    <w:multiLevelType w:val="hybridMultilevel"/>
    <w:tmpl w:val="7DB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2637D"/>
    <w:multiLevelType w:val="hybridMultilevel"/>
    <w:tmpl w:val="E1A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EF1"/>
    <w:multiLevelType w:val="hybridMultilevel"/>
    <w:tmpl w:val="2AD0D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71010C"/>
    <w:multiLevelType w:val="hybridMultilevel"/>
    <w:tmpl w:val="A9409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7407FB"/>
    <w:multiLevelType w:val="hybridMultilevel"/>
    <w:tmpl w:val="9A3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E2EDB"/>
    <w:multiLevelType w:val="hybridMultilevel"/>
    <w:tmpl w:val="9220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3121B"/>
    <w:multiLevelType w:val="hybridMultilevel"/>
    <w:tmpl w:val="726E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E1536"/>
    <w:multiLevelType w:val="hybridMultilevel"/>
    <w:tmpl w:val="E258E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15CAD"/>
    <w:multiLevelType w:val="hybridMultilevel"/>
    <w:tmpl w:val="4028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61213B0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52F49"/>
    <w:multiLevelType w:val="hybridMultilevel"/>
    <w:tmpl w:val="75C4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8B5C0B"/>
    <w:multiLevelType w:val="multilevel"/>
    <w:tmpl w:val="517EA2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A96224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5795B"/>
    <w:multiLevelType w:val="hybridMultilevel"/>
    <w:tmpl w:val="CA3CF476"/>
    <w:lvl w:ilvl="0" w:tplc="F78AF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8" w15:restartNumberingAfterBreak="0">
    <w:nsid w:val="45341AE1"/>
    <w:multiLevelType w:val="hybridMultilevel"/>
    <w:tmpl w:val="A3208430"/>
    <w:lvl w:ilvl="0" w:tplc="C8F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C0A40"/>
    <w:multiLevelType w:val="hybridMultilevel"/>
    <w:tmpl w:val="2F0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6435E"/>
    <w:multiLevelType w:val="hybridMultilevel"/>
    <w:tmpl w:val="BE72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B1514"/>
    <w:multiLevelType w:val="hybridMultilevel"/>
    <w:tmpl w:val="90D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D1C7C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A467223"/>
    <w:multiLevelType w:val="hybridMultilevel"/>
    <w:tmpl w:val="E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11299"/>
    <w:multiLevelType w:val="hybridMultilevel"/>
    <w:tmpl w:val="569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7" w15:restartNumberingAfterBreak="0">
    <w:nsid w:val="67835B39"/>
    <w:multiLevelType w:val="hybridMultilevel"/>
    <w:tmpl w:val="86340CE4"/>
    <w:lvl w:ilvl="0" w:tplc="CA04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30" w15:restartNumberingAfterBreak="0">
    <w:nsid w:val="6DCF78B4"/>
    <w:multiLevelType w:val="hybridMultilevel"/>
    <w:tmpl w:val="E070BE5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6F2E0DF9"/>
    <w:multiLevelType w:val="hybridMultilevel"/>
    <w:tmpl w:val="540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8D84272"/>
    <w:multiLevelType w:val="hybridMultilevel"/>
    <w:tmpl w:val="36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27592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28"/>
  </w:num>
  <w:num w:numId="4">
    <w:abstractNumId w:val="29"/>
  </w:num>
  <w:num w:numId="5">
    <w:abstractNumId w:val="17"/>
  </w:num>
  <w:num w:numId="6">
    <w:abstractNumId w:val="0"/>
  </w:num>
  <w:num w:numId="7">
    <w:abstractNumId w:val="1"/>
  </w:num>
  <w:num w:numId="8">
    <w:abstractNumId w:val="30"/>
  </w:num>
  <w:num w:numId="9">
    <w:abstractNumId w:val="20"/>
  </w:num>
  <w:num w:numId="10">
    <w:abstractNumId w:val="12"/>
  </w:num>
  <w:num w:numId="11">
    <w:abstractNumId w:val="34"/>
  </w:num>
  <w:num w:numId="12">
    <w:abstractNumId w:val="19"/>
  </w:num>
  <w:num w:numId="13">
    <w:abstractNumId w:val="18"/>
  </w:num>
  <w:num w:numId="14">
    <w:abstractNumId w:val="4"/>
  </w:num>
  <w:num w:numId="15">
    <w:abstractNumId w:val="16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5"/>
  </w:num>
  <w:num w:numId="19">
    <w:abstractNumId w:val="3"/>
  </w:num>
  <w:num w:numId="20">
    <w:abstractNumId w:val="21"/>
  </w:num>
  <w:num w:numId="21">
    <w:abstractNumId w:val="11"/>
  </w:num>
  <w:num w:numId="22">
    <w:abstractNumId w:val="6"/>
  </w:num>
  <w:num w:numId="23">
    <w:abstractNumId w:val="5"/>
  </w:num>
  <w:num w:numId="24">
    <w:abstractNumId w:val="2"/>
  </w:num>
  <w:num w:numId="25">
    <w:abstractNumId w:val="27"/>
  </w:num>
  <w:num w:numId="26">
    <w:abstractNumId w:val="33"/>
  </w:num>
  <w:num w:numId="27">
    <w:abstractNumId w:val="9"/>
  </w:num>
  <w:num w:numId="28">
    <w:abstractNumId w:val="8"/>
  </w:num>
  <w:num w:numId="29">
    <w:abstractNumId w:val="24"/>
  </w:num>
  <w:num w:numId="30">
    <w:abstractNumId w:val="14"/>
  </w:num>
  <w:num w:numId="31">
    <w:abstractNumId w:val="31"/>
  </w:num>
  <w:num w:numId="32">
    <w:abstractNumId w:val="7"/>
  </w:num>
  <w:num w:numId="33">
    <w:abstractNumId w:val="23"/>
  </w:num>
  <w:num w:numId="34">
    <w:abstractNumId w:val="1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846E3"/>
    <w:rsid w:val="000D369E"/>
    <w:rsid w:val="000D72C7"/>
    <w:rsid w:val="000E08E7"/>
    <w:rsid w:val="000E19C0"/>
    <w:rsid w:val="000E5A8E"/>
    <w:rsid w:val="00111EAC"/>
    <w:rsid w:val="001163F0"/>
    <w:rsid w:val="00134083"/>
    <w:rsid w:val="00175213"/>
    <w:rsid w:val="001935C5"/>
    <w:rsid w:val="001D3DCF"/>
    <w:rsid w:val="002729D6"/>
    <w:rsid w:val="00273307"/>
    <w:rsid w:val="00275E01"/>
    <w:rsid w:val="002A778B"/>
    <w:rsid w:val="00316960"/>
    <w:rsid w:val="003264A0"/>
    <w:rsid w:val="00335572"/>
    <w:rsid w:val="0037551B"/>
    <w:rsid w:val="003A4FC5"/>
    <w:rsid w:val="003E45A1"/>
    <w:rsid w:val="003E4AE0"/>
    <w:rsid w:val="00402C44"/>
    <w:rsid w:val="00414FD8"/>
    <w:rsid w:val="00420392"/>
    <w:rsid w:val="0045025A"/>
    <w:rsid w:val="004A6576"/>
    <w:rsid w:val="004B3DBB"/>
    <w:rsid w:val="004C1731"/>
    <w:rsid w:val="004C2361"/>
    <w:rsid w:val="005242F0"/>
    <w:rsid w:val="0052654A"/>
    <w:rsid w:val="00526C68"/>
    <w:rsid w:val="0056281E"/>
    <w:rsid w:val="0056293F"/>
    <w:rsid w:val="0058755E"/>
    <w:rsid w:val="0059340D"/>
    <w:rsid w:val="005C0581"/>
    <w:rsid w:val="005F0041"/>
    <w:rsid w:val="00602F63"/>
    <w:rsid w:val="006A095B"/>
    <w:rsid w:val="006D6E3E"/>
    <w:rsid w:val="006F7E58"/>
    <w:rsid w:val="0071603F"/>
    <w:rsid w:val="00727EBC"/>
    <w:rsid w:val="007302F5"/>
    <w:rsid w:val="007435B7"/>
    <w:rsid w:val="00757E94"/>
    <w:rsid w:val="007C0AF7"/>
    <w:rsid w:val="007F45B1"/>
    <w:rsid w:val="00876CEB"/>
    <w:rsid w:val="008907E0"/>
    <w:rsid w:val="008A2130"/>
    <w:rsid w:val="008F0792"/>
    <w:rsid w:val="00917314"/>
    <w:rsid w:val="00933593"/>
    <w:rsid w:val="009375AA"/>
    <w:rsid w:val="009656E1"/>
    <w:rsid w:val="00982EEF"/>
    <w:rsid w:val="0099073D"/>
    <w:rsid w:val="009F0CA4"/>
    <w:rsid w:val="00A623D7"/>
    <w:rsid w:val="00A76443"/>
    <w:rsid w:val="00A944CF"/>
    <w:rsid w:val="00AB285B"/>
    <w:rsid w:val="00B024D8"/>
    <w:rsid w:val="00B25991"/>
    <w:rsid w:val="00BA4266"/>
    <w:rsid w:val="00BD5530"/>
    <w:rsid w:val="00BD6EC5"/>
    <w:rsid w:val="00BE3B12"/>
    <w:rsid w:val="00BE6E8F"/>
    <w:rsid w:val="00BF2D74"/>
    <w:rsid w:val="00C3788D"/>
    <w:rsid w:val="00C61B53"/>
    <w:rsid w:val="00C74CFA"/>
    <w:rsid w:val="00C767F4"/>
    <w:rsid w:val="00C937CB"/>
    <w:rsid w:val="00C95EF2"/>
    <w:rsid w:val="00CA7A7F"/>
    <w:rsid w:val="00CB0DDC"/>
    <w:rsid w:val="00D350DE"/>
    <w:rsid w:val="00D51355"/>
    <w:rsid w:val="00D6312B"/>
    <w:rsid w:val="00D74EE0"/>
    <w:rsid w:val="00DC56DB"/>
    <w:rsid w:val="00DD04A2"/>
    <w:rsid w:val="00DD5201"/>
    <w:rsid w:val="00DE464A"/>
    <w:rsid w:val="00DF4F36"/>
    <w:rsid w:val="00E1152B"/>
    <w:rsid w:val="00E44337"/>
    <w:rsid w:val="00E70231"/>
    <w:rsid w:val="00EE686E"/>
    <w:rsid w:val="00F10A09"/>
    <w:rsid w:val="00F11B0B"/>
    <w:rsid w:val="00F14037"/>
    <w:rsid w:val="00F86F5D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eqe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qe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6D935-3315-42BB-9CC7-88159489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Tamar Rukhadze</cp:lastModifiedBy>
  <cp:revision>88</cp:revision>
  <dcterms:created xsi:type="dcterms:W3CDTF">2019-07-31T10:11:00Z</dcterms:created>
  <dcterms:modified xsi:type="dcterms:W3CDTF">2020-01-30T11:44:00Z</dcterms:modified>
</cp:coreProperties>
</file>